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spacing w:before="240" w:beforeAutospacing="0" w:after="240" w:afterAutospacing="0"/>
        <w:ind w:firstLine="1133"/>
        <w:jc w:val="center"/>
        <w:rPr>
          <w:rFonts w:hint="default"/>
          <w:b/>
          <w:bCs/>
          <w:color w:val="000000"/>
          <w:highlight w:val="yellow"/>
          <w:lang w:val="pt-BR"/>
        </w:rPr>
      </w:pPr>
      <w:r>
        <w:rPr>
          <w:rFonts w:hint="default"/>
          <w:b/>
          <w:bCs/>
          <w:color w:val="000000"/>
          <w:highlight w:val="yellow"/>
          <w:lang w:val="pt-BR"/>
        </w:rPr>
        <w:t>REGISTROS DE COMPRA E VENDA DE PESSOAS   ESCRAVIZADAS.</w:t>
      </w:r>
    </w:p>
    <w:p>
      <w:pPr>
        <w:pStyle w:val="5"/>
        <w:spacing w:before="240" w:beforeAutospacing="0" w:after="240" w:afterAutospacing="0"/>
        <w:ind w:firstLine="1133"/>
        <w:jc w:val="both"/>
        <w:rPr>
          <w:color w:val="000000"/>
        </w:rPr>
      </w:pPr>
    </w:p>
    <w:p>
      <w:pPr>
        <w:pStyle w:val="5"/>
        <w:spacing w:before="240" w:beforeAutospacing="0" w:after="240" w:afterAutospacing="0"/>
        <w:ind w:firstLine="1133"/>
        <w:jc w:val="both"/>
      </w:pPr>
      <w:r>
        <w:rPr>
          <w:color w:val="000000"/>
        </w:rPr>
        <w:t xml:space="preserve">As </w:t>
      </w:r>
      <w:r>
        <w:rPr>
          <w:rFonts w:hint="default"/>
          <w:color w:val="000000"/>
          <w:lang w:val="pt-BR"/>
        </w:rPr>
        <w:t>e</w:t>
      </w:r>
      <w:r>
        <w:rPr>
          <w:color w:val="000000"/>
        </w:rPr>
        <w:t>scrituras de compra e venda são documentos que demonstram a </w:t>
      </w:r>
    </w:p>
    <w:p>
      <w:pPr>
        <w:pStyle w:val="5"/>
        <w:spacing w:before="240" w:beforeAutospacing="0" w:after="240" w:afterAutospacing="0"/>
        <w:ind w:left="2268"/>
        <w:jc w:val="both"/>
        <w:rPr>
          <w:sz w:val="20"/>
          <w:szCs w:val="20"/>
        </w:rPr>
      </w:pPr>
      <w:r>
        <w:rPr>
          <w:color w:val="000000"/>
          <w:sz w:val="20"/>
          <w:szCs w:val="20"/>
        </w:rPr>
        <w:t>[...] transação comercial de algum bem, onde estavam envolvidos compradores, vendedores e testemunhas. Denominava-se uma escritura porque era realizada por um tabelião e era registrada em livros cartoriais; era também pública porque estava sob controle do Estado, escrita por um burocrata imperial; e, finalmente, era uma compra e venda porque tinha o fim de transacionar de forma legal qualquer bem: casas, terras, móveis, escravos etc. Assim, este documento produzido durante o século XIX com o objetivo de tornar público e legal as relações comerciais e também com o fim de evitar problemas de embargo e herança, torna-se privilegiado para entender a dinâmica comercial de escravos, já que apresenta informações relevantes sobre os trâmites da obtenção de cativos na época (CARATTI, 2009, p.4).</w:t>
      </w:r>
    </w:p>
    <w:p>
      <w:pPr>
        <w:pStyle w:val="5"/>
        <w:spacing w:before="240" w:beforeAutospacing="0" w:after="240" w:afterAutospacing="0" w:line="360" w:lineRule="auto"/>
        <w:ind w:firstLine="1134"/>
        <w:jc w:val="both"/>
        <w:rPr>
          <w:color w:val="000000"/>
          <w:sz w:val="24"/>
          <w:szCs w:val="24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Os registros de compra e venda de escravizados/as da Carolina na segunda metade do século XIX, analisados por mim, de uma forma geral têm a seguinte estrutura: no iníci</w:t>
      </w:r>
      <w:r>
        <w:rPr>
          <w:rFonts w:hint="default" w:ascii="Times New Roman" w:hAnsi="Times New Roman" w:eastAsia="SimSun" w:cs="Times New Roman"/>
          <w:i w:val="0"/>
          <w:iCs w:val="0"/>
          <w:color w:val="202122"/>
          <w:sz w:val="24"/>
          <w:szCs w:val="24"/>
          <w:u w:val="none"/>
          <w:vertAlign w:val="baseline"/>
        </w:rPr>
        <w:t>o foram colocados os dados gerais sobre o documento, tais como: a sua natureza (venda e compra), os nomes do/a comprador/a, vendedor/a e da pessoa que estava sendo transacionada (negociada).</w:t>
      </w:r>
      <w:r>
        <w:rPr>
          <w:color w:val="202122"/>
          <w:sz w:val="24"/>
          <w:szCs w:val="24"/>
        </w:rPr>
        <w:t xml:space="preserve"> Logo em seguida, </w:t>
      </w:r>
      <w:r>
        <w:rPr>
          <w:rFonts w:hint="default"/>
          <w:color w:val="202122"/>
          <w:sz w:val="24"/>
          <w:szCs w:val="24"/>
          <w:lang w:val="pt-BR"/>
        </w:rPr>
        <w:t>foi</w:t>
      </w:r>
      <w:r>
        <w:rPr>
          <w:color w:val="202122"/>
          <w:sz w:val="24"/>
          <w:szCs w:val="24"/>
        </w:rPr>
        <w:t xml:space="preserve"> colocado o ano, mês, dia e local (cidade e província) onde </w:t>
      </w:r>
      <w:r>
        <w:rPr>
          <w:rFonts w:hint="default"/>
          <w:color w:val="202122"/>
          <w:sz w:val="24"/>
          <w:szCs w:val="24"/>
          <w:lang w:val="pt-BR"/>
        </w:rPr>
        <w:t xml:space="preserve">foi registrada </w:t>
      </w:r>
      <w:r>
        <w:rPr>
          <w:color w:val="202122"/>
          <w:sz w:val="24"/>
          <w:szCs w:val="24"/>
        </w:rPr>
        <w:t>a escritura. E</w:t>
      </w:r>
      <w:r>
        <w:rPr>
          <w:color w:val="000000"/>
          <w:sz w:val="24"/>
          <w:szCs w:val="24"/>
        </w:rPr>
        <w:t>ncontr</w:t>
      </w:r>
      <w:r>
        <w:rPr>
          <w:rFonts w:hint="default"/>
          <w:color w:val="000000"/>
          <w:sz w:val="24"/>
          <w:szCs w:val="24"/>
          <w:lang w:val="pt-BR"/>
        </w:rPr>
        <w:t>ei</w:t>
      </w:r>
      <w:r>
        <w:rPr>
          <w:color w:val="000000"/>
          <w:sz w:val="24"/>
          <w:szCs w:val="24"/>
        </w:rPr>
        <w:t xml:space="preserve"> informações sobre os/as contratantes c</w:t>
      </w:r>
      <w:r>
        <w:rPr>
          <w:color w:val="202122"/>
          <w:sz w:val="24"/>
          <w:szCs w:val="24"/>
        </w:rPr>
        <w:t xml:space="preserve">omo, por exemplo, </w:t>
      </w:r>
      <w:r>
        <w:rPr>
          <w:rFonts w:hint="default"/>
          <w:color w:val="202122"/>
          <w:sz w:val="24"/>
          <w:szCs w:val="24"/>
          <w:lang w:val="pt-BR"/>
        </w:rPr>
        <w:t xml:space="preserve">o </w:t>
      </w:r>
      <w:r>
        <w:rPr>
          <w:color w:val="202122"/>
          <w:sz w:val="24"/>
          <w:szCs w:val="24"/>
        </w:rPr>
        <w:t xml:space="preserve">local de residência, profissão e estado civil; caso </w:t>
      </w:r>
      <w:r>
        <w:rPr>
          <w:rFonts w:hint="default"/>
          <w:color w:val="202122"/>
          <w:sz w:val="24"/>
          <w:szCs w:val="24"/>
          <w:lang w:val="pt-BR"/>
        </w:rPr>
        <w:t xml:space="preserve">os/as mesmos/as </w:t>
      </w:r>
      <w:r>
        <w:rPr>
          <w:color w:val="202122"/>
          <w:sz w:val="24"/>
          <w:szCs w:val="24"/>
        </w:rPr>
        <w:t xml:space="preserve">possuíssem algum título (Capitão, Coronel, Alferes, Dona…), também </w:t>
      </w:r>
      <w:r>
        <w:rPr>
          <w:rFonts w:hint="default"/>
          <w:color w:val="202122"/>
          <w:sz w:val="24"/>
          <w:szCs w:val="24"/>
          <w:lang w:val="pt-BR"/>
        </w:rPr>
        <w:t>foi</w:t>
      </w:r>
      <w:r>
        <w:rPr>
          <w:color w:val="202122"/>
          <w:sz w:val="24"/>
          <w:szCs w:val="24"/>
        </w:rPr>
        <w:t xml:space="preserve"> registrado. Sobre o/a escravizado/a, as informações variaram um pouco. Consta</w:t>
      </w:r>
      <w:r>
        <w:rPr>
          <w:rFonts w:hint="default"/>
          <w:color w:val="202122"/>
          <w:sz w:val="24"/>
          <w:szCs w:val="24"/>
          <w:lang w:val="pt-BR"/>
        </w:rPr>
        <w:t>va</w:t>
      </w:r>
      <w:r>
        <w:rPr>
          <w:color w:val="202122"/>
          <w:sz w:val="24"/>
          <w:szCs w:val="24"/>
        </w:rPr>
        <w:t xml:space="preserve"> o nome, cor, idade, estado civil, profissão, origem, se tinha filhos/as e seu preço. Em alguns documentos encontrei a matrícula do/a cativo/a </w:t>
      </w:r>
      <w:r>
        <w:rPr>
          <w:rFonts w:hint="default"/>
          <w:color w:val="202122"/>
          <w:sz w:val="24"/>
          <w:szCs w:val="24"/>
          <w:lang w:val="pt-BR"/>
        </w:rPr>
        <w:t>comercializado/a</w:t>
      </w:r>
      <w:r>
        <w:rPr>
          <w:color w:val="202122"/>
          <w:sz w:val="24"/>
          <w:szCs w:val="24"/>
        </w:rPr>
        <w:t>. Para tornar o documento legal, além da “fé” dada pelo tabelião h</w:t>
      </w:r>
      <w:r>
        <w:rPr>
          <w:rFonts w:hint="default"/>
          <w:color w:val="202122"/>
          <w:sz w:val="24"/>
          <w:szCs w:val="24"/>
          <w:lang w:val="pt-BR"/>
        </w:rPr>
        <w:t>avia</w:t>
      </w:r>
      <w:r>
        <w:rPr>
          <w:color w:val="202122"/>
          <w:sz w:val="24"/>
          <w:szCs w:val="24"/>
        </w:rPr>
        <w:t xml:space="preserve"> a necessidade da a</w:t>
      </w:r>
      <w:r>
        <w:rPr>
          <w:color w:val="000000"/>
          <w:sz w:val="24"/>
          <w:szCs w:val="24"/>
        </w:rPr>
        <w:t xml:space="preserve">ssinatura das testemunhas que </w:t>
      </w:r>
      <w:r>
        <w:rPr>
          <w:rFonts w:hint="default"/>
          <w:color w:val="000000"/>
          <w:sz w:val="24"/>
          <w:szCs w:val="24"/>
          <w:lang w:val="pt-BR"/>
        </w:rPr>
        <w:t>foram</w:t>
      </w:r>
      <w:r>
        <w:rPr>
          <w:color w:val="000000"/>
          <w:sz w:val="24"/>
          <w:szCs w:val="24"/>
        </w:rPr>
        <w:t xml:space="preserve"> colocadas no final do registro.</w:t>
      </w:r>
    </w:p>
    <w:p>
      <w:pPr>
        <w:pStyle w:val="5"/>
        <w:spacing w:before="240" w:beforeAutospacing="0" w:after="240" w:afterAutospacing="0" w:line="360" w:lineRule="auto"/>
        <w:ind w:firstLine="1134"/>
        <w:jc w:val="both"/>
        <w:rPr>
          <w:color w:val="000000"/>
          <w:sz w:val="24"/>
          <w:szCs w:val="24"/>
        </w:rPr>
      </w:pPr>
    </w:p>
    <w:p>
      <w:pPr>
        <w:pStyle w:val="5"/>
        <w:spacing w:before="240" w:beforeAutospacing="0" w:after="240" w:afterAutospacing="0" w:line="360" w:lineRule="auto"/>
        <w:ind w:firstLine="1134"/>
        <w:jc w:val="both"/>
        <w:rPr>
          <w:color w:val="000000"/>
          <w:sz w:val="24"/>
          <w:szCs w:val="24"/>
        </w:rPr>
      </w:pPr>
    </w:p>
    <w:p>
      <w:pPr>
        <w:pStyle w:val="5"/>
        <w:spacing w:before="240" w:beforeAutospacing="0" w:after="240" w:afterAutospacing="0" w:line="360" w:lineRule="auto"/>
        <w:ind w:firstLine="1134"/>
        <w:jc w:val="both"/>
        <w:rPr>
          <w:color w:val="000000"/>
          <w:sz w:val="24"/>
          <w:szCs w:val="24"/>
        </w:rPr>
      </w:pPr>
    </w:p>
    <w:p>
      <w:pPr>
        <w:pStyle w:val="5"/>
        <w:spacing w:before="240" w:beforeAutospacing="0" w:after="240" w:afterAutospacing="0" w:line="360" w:lineRule="auto"/>
        <w:ind w:firstLine="1134"/>
        <w:jc w:val="both"/>
        <w:rPr>
          <w:color w:val="000000"/>
          <w:sz w:val="24"/>
          <w:szCs w:val="24"/>
        </w:rPr>
      </w:pPr>
    </w:p>
    <w:p>
      <w:pPr>
        <w:pStyle w:val="5"/>
        <w:spacing w:before="240" w:beforeAutospacing="0" w:after="240" w:afterAutospacing="0" w:line="360" w:lineRule="auto"/>
        <w:ind w:firstLine="1134"/>
        <w:jc w:val="both"/>
        <w:rPr>
          <w:color w:val="000000"/>
          <w:sz w:val="24"/>
          <w:szCs w:val="24"/>
        </w:rPr>
      </w:pPr>
    </w:p>
    <w:p>
      <w:pPr>
        <w:pStyle w:val="5"/>
        <w:spacing w:before="240" w:beforeAutospacing="0" w:after="240" w:afterAutospacing="0" w:line="360" w:lineRule="auto"/>
        <w:ind w:firstLine="1134"/>
        <w:jc w:val="both"/>
        <w:rPr>
          <w:color w:val="000000"/>
          <w:sz w:val="24"/>
          <w:szCs w:val="24"/>
        </w:rPr>
      </w:pPr>
    </w:p>
    <w:p>
      <w:pPr>
        <w:pStyle w:val="5"/>
        <w:spacing w:before="240" w:beforeAutospacing="0" w:after="240" w:afterAutospacing="0" w:line="360" w:lineRule="auto"/>
        <w:jc w:val="both"/>
        <w:rPr>
          <w:rFonts w:hint="default"/>
          <w:b/>
          <w:bCs/>
          <w:color w:val="000000"/>
          <w:sz w:val="24"/>
          <w:szCs w:val="24"/>
          <w:lang w:val="pt-BR"/>
        </w:rPr>
      </w:pPr>
      <w:r>
        <w:rPr>
          <w:rFonts w:hint="default"/>
          <w:b/>
          <w:bCs/>
          <w:color w:val="000000"/>
          <w:sz w:val="24"/>
          <w:szCs w:val="24"/>
          <w:lang w:val="pt-BR"/>
        </w:rPr>
        <w:t>EXEMPLO</w:t>
      </w:r>
    </w:p>
    <w:p>
      <w:pPr>
        <w:pStyle w:val="5"/>
        <w:spacing w:before="240" w:beforeAutospacing="0" w:after="240" w:afterAutospacing="0" w:line="360" w:lineRule="auto"/>
        <w:jc w:val="center"/>
        <w:rPr>
          <w:rFonts w:hint="default"/>
          <w:color w:val="000000"/>
          <w:sz w:val="24"/>
          <w:szCs w:val="24"/>
          <w:lang w:val="pt-BR"/>
        </w:rPr>
      </w:pPr>
      <w:r>
        <w:rPr>
          <w:rFonts w:hint="default"/>
          <w:color w:val="000000"/>
          <w:sz w:val="24"/>
          <w:szCs w:val="24"/>
          <w:lang w:val="pt-BR"/>
        </w:rPr>
        <w:drawing>
          <wp:inline distT="0" distB="0" distL="114300" distR="114300">
            <wp:extent cx="4070350" cy="3053080"/>
            <wp:effectExtent l="0" t="0" r="6350" b="13970"/>
            <wp:docPr id="1" name="Imagem 1" descr="DSCF1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DSCF173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7035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40" w:beforeAutospacing="0" w:after="240" w:afterAutospacing="0" w:line="360" w:lineRule="auto"/>
        <w:jc w:val="both"/>
        <w:rPr>
          <w:rFonts w:hint="default"/>
          <w:color w:val="000000"/>
          <w:sz w:val="24"/>
          <w:szCs w:val="24"/>
          <w:lang w:val="pt-BR"/>
        </w:rPr>
      </w:pPr>
    </w:p>
    <w:p>
      <w:pPr>
        <w:pStyle w:val="5"/>
        <w:spacing w:before="240" w:beforeAutospacing="0" w:after="240" w:afterAutospacing="0" w:line="360" w:lineRule="auto"/>
        <w:ind w:firstLine="1134"/>
        <w:jc w:val="both"/>
        <w:rPr>
          <w:rFonts w:hint="default"/>
          <w:color w:val="000000"/>
          <w:sz w:val="24"/>
          <w:szCs w:val="24"/>
          <w:lang w:val="pt-BR"/>
        </w:rPr>
      </w:pPr>
      <w:r>
        <w:rPr>
          <w:rFonts w:hint="default"/>
          <w:color w:val="000000"/>
          <w:sz w:val="24"/>
          <w:szCs w:val="24"/>
          <w:lang w:val="pt-BR"/>
        </w:rPr>
        <w:drawing>
          <wp:inline distT="0" distB="0" distL="114300" distR="114300">
            <wp:extent cx="3911600" cy="2763520"/>
            <wp:effectExtent l="0" t="0" r="12700" b="17780"/>
            <wp:docPr id="2" name="Imagem 2" descr="DSCF1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DSCF173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240" w:afterAutospacing="0" w:line="15" w:lineRule="atLeast"/>
        <w:jc w:val="both"/>
        <w:rPr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0"/>
          <w:szCs w:val="20"/>
          <w:u w:val="none"/>
          <w:vertAlign w:val="baseline"/>
        </w:rPr>
        <w:t>Registro de Compra e Venda de Joaquim. (Livro de registro de compra e venda de escravizados/as 1875 - Tribunal de Justiça do Estado do Maranhão - São Luís-MA)</w:t>
      </w:r>
      <w:r>
        <w:rPr>
          <w:rFonts w:hint="default" w:cs="Times New Roman"/>
          <w:i w:val="0"/>
          <w:iCs w:val="0"/>
          <w:color w:val="000000"/>
          <w:sz w:val="20"/>
          <w:szCs w:val="20"/>
          <w:u w:val="none"/>
          <w:vertAlign w:val="baseline"/>
          <w:lang w:val="pt-BR"/>
        </w:rPr>
        <w:t>, p.73-75</w:t>
      </w:r>
      <w:r>
        <w:rPr>
          <w:rFonts w:hint="default" w:ascii="Times New Roman" w:hAnsi="Times New Roman" w:cs="Times New Roman"/>
          <w:i w:val="0"/>
          <w:iCs w:val="0"/>
          <w:color w:val="000000"/>
          <w:sz w:val="20"/>
          <w:szCs w:val="20"/>
          <w:u w:val="none"/>
          <w:vertAlign w:val="baseline"/>
        </w:rPr>
        <w:t>.</w:t>
      </w:r>
    </w:p>
    <w:p>
      <w:pPr>
        <w:pStyle w:val="5"/>
        <w:spacing w:before="240" w:beforeAutospacing="0" w:after="240" w:afterAutospacing="0" w:line="360" w:lineRule="auto"/>
        <w:ind w:firstLine="1134"/>
        <w:jc w:val="both"/>
        <w:rPr>
          <w:rFonts w:hint="default"/>
          <w:color w:val="000000"/>
          <w:sz w:val="20"/>
          <w:szCs w:val="20"/>
          <w:lang w:val="pt-BR"/>
        </w:rPr>
      </w:pPr>
    </w:p>
    <w:p>
      <w:pPr>
        <w:pStyle w:val="5"/>
        <w:spacing w:before="240" w:beforeAutospacing="0" w:after="240" w:afterAutospacing="0" w:line="360" w:lineRule="auto"/>
        <w:ind w:firstLine="1134"/>
        <w:jc w:val="both"/>
        <w:rPr>
          <w:rFonts w:hint="default"/>
          <w:color w:val="000000"/>
          <w:sz w:val="24"/>
          <w:szCs w:val="24"/>
          <w:lang w:val="pt-BR"/>
        </w:rPr>
      </w:pPr>
    </w:p>
    <w:p>
      <w:pPr>
        <w:pStyle w:val="5"/>
        <w:spacing w:before="240" w:beforeAutospacing="0" w:after="240" w:afterAutospacing="0" w:line="360" w:lineRule="auto"/>
        <w:ind w:firstLine="1134"/>
        <w:jc w:val="both"/>
        <w:rPr>
          <w:rFonts w:hint="default"/>
          <w:color w:val="000000"/>
          <w:sz w:val="24"/>
          <w:szCs w:val="24"/>
          <w:lang w:val="pt-BR"/>
        </w:rPr>
      </w:pPr>
    </w:p>
    <w:p>
      <w:pPr>
        <w:pStyle w:val="5"/>
        <w:spacing w:before="240" w:beforeAutospacing="0" w:after="240" w:afterAutospacing="0" w:line="360" w:lineRule="auto"/>
        <w:ind w:firstLine="1134"/>
        <w:jc w:val="both"/>
        <w:rPr>
          <w:rFonts w:hint="default"/>
          <w:color w:val="000000"/>
          <w:sz w:val="24"/>
          <w:szCs w:val="24"/>
          <w:lang w:val="pt-BR"/>
        </w:rPr>
      </w:pPr>
    </w:p>
    <w:p>
      <w:pPr>
        <w:pStyle w:val="5"/>
        <w:spacing w:before="240" w:beforeAutospacing="0" w:after="240" w:afterAutospacing="0" w:line="360" w:lineRule="auto"/>
        <w:jc w:val="both"/>
        <w:rPr>
          <w:rFonts w:hint="default"/>
          <w:b/>
          <w:bCs/>
          <w:color w:val="000000"/>
          <w:sz w:val="24"/>
          <w:szCs w:val="24"/>
          <w:lang w:val="pt-BR"/>
        </w:rPr>
      </w:pPr>
      <w:r>
        <w:rPr>
          <w:rFonts w:hint="default"/>
          <w:b/>
          <w:bCs/>
          <w:color w:val="000000"/>
          <w:sz w:val="24"/>
          <w:szCs w:val="24"/>
          <w:lang w:val="pt-BR"/>
        </w:rPr>
        <w:t>REFERÊNCIAS</w:t>
      </w:r>
    </w:p>
    <w:p>
      <w:pPr>
        <w:pStyle w:val="5"/>
        <w:spacing w:before="240" w:beforeAutospacing="0" w:after="240" w:afterAutospacing="0" w:line="24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CARATTI, Jonatas Marques. Comprando e vendendo escravos na fronteira: uma possibilidade de análise a partir de escrituras públicas de compra e venda (Jaguarão, 1860-1880). Vestígios do Passado: a história e suas fontes.</w:t>
      </w:r>
      <w:r>
        <w:rPr>
          <w:b/>
          <w:bCs/>
          <w:color w:val="000000"/>
          <w:sz w:val="24"/>
          <w:szCs w:val="24"/>
        </w:rPr>
        <w:t xml:space="preserve"> Anais eletrônicos do IX Encontro Estadual de História, ANPUH-RS</w:t>
      </w:r>
      <w:r>
        <w:rPr>
          <w:color w:val="000000"/>
          <w:sz w:val="24"/>
          <w:szCs w:val="24"/>
        </w:rPr>
        <w:t>. Disponível em: http://eeh2008.anpuh-rs.org.br › content › anais. Acesso em: 3 de nov. de 2021.</w:t>
      </w:r>
    </w:p>
    <w:p>
      <w:pPr>
        <w:pStyle w:val="5"/>
        <w:spacing w:before="240" w:beforeAutospacing="0" w:after="240" w:afterAutospacing="0" w:line="360" w:lineRule="auto"/>
        <w:jc w:val="both"/>
        <w:rPr>
          <w:rFonts w:hint="default"/>
          <w:b/>
          <w:bCs/>
          <w:color w:val="000000"/>
          <w:sz w:val="24"/>
          <w:szCs w:val="24"/>
          <w:lang w:val="pt-BR"/>
        </w:rPr>
      </w:pPr>
    </w:p>
    <w:p>
      <w:pPr>
        <w:pStyle w:val="5"/>
        <w:spacing w:before="240" w:beforeAutospacing="0" w:after="240" w:afterAutospacing="0" w:line="360" w:lineRule="auto"/>
        <w:jc w:val="both"/>
        <w:rPr>
          <w:rFonts w:hint="default"/>
          <w:b/>
          <w:bCs/>
          <w:color w:val="000000"/>
          <w:sz w:val="24"/>
          <w:szCs w:val="24"/>
          <w:lang w:val="pt-BR"/>
        </w:rPr>
      </w:pPr>
      <w:r>
        <w:rPr>
          <w:rFonts w:hint="default"/>
          <w:b/>
          <w:bCs/>
          <w:color w:val="000000"/>
          <w:sz w:val="24"/>
          <w:szCs w:val="24"/>
          <w:lang w:val="pt-BR"/>
        </w:rPr>
        <w:t>DOCUMENTOS</w:t>
      </w:r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240" w:afterAutospacing="0" w:line="240" w:lineRule="auto"/>
        <w:jc w:val="both"/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Registro de Compra e Venda de Joaquim. (Livro de registro de compra e venda de escravizados/as 1875 - Tribunal de Justiça do Estado do Maranhão - São Luís-MA).</w:t>
      </w:r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240" w:afterAutospacing="0" w:line="15" w:lineRule="atLeast"/>
        <w:jc w:val="both"/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</w:pPr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240" w:afterAutospacing="0" w:line="15" w:lineRule="atLeast"/>
        <w:jc w:val="center"/>
        <w:rPr>
          <w:rFonts w:hint="default" w:cs="Times New Roman"/>
          <w:b/>
          <w:bCs/>
          <w:i w:val="0"/>
          <w:iCs w:val="0"/>
          <w:color w:val="000000"/>
          <w:sz w:val="24"/>
          <w:szCs w:val="24"/>
          <w:highlight w:val="yellow"/>
          <w:u w:val="none"/>
          <w:vertAlign w:val="baseline"/>
          <w:lang w:val="pt-BR"/>
        </w:rPr>
      </w:pPr>
      <w:r>
        <w:rPr>
          <w:rFonts w:hint="default" w:cs="Times New Roman"/>
          <w:b/>
          <w:bCs/>
          <w:i w:val="0"/>
          <w:iCs w:val="0"/>
          <w:color w:val="000000"/>
          <w:sz w:val="24"/>
          <w:szCs w:val="24"/>
          <w:highlight w:val="yellow"/>
          <w:u w:val="none"/>
          <w:vertAlign w:val="baseline"/>
          <w:lang w:val="pt-BR"/>
        </w:rPr>
        <w:t>REGISTROS DE CASAMENTO DE PESSOAS ESCRAVIZADAS.</w:t>
      </w:r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240" w:afterAutospacing="0" w:line="15" w:lineRule="atLeast"/>
        <w:jc w:val="center"/>
        <w:rPr>
          <w:rFonts w:hint="default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  <w:lang w:val="pt-BR"/>
        </w:rPr>
      </w:pPr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240" w:afterAutospacing="0" w:line="360" w:lineRule="auto"/>
        <w:ind w:left="0" w:firstLine="1120"/>
        <w:jc w:val="both"/>
      </w:pP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Sobre os matrimônios de escravizados/as as Constituições Primeiras do Arcebispado da Bahia recomendaram que, poderiam</w:t>
      </w:r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240" w:afterAutospacing="0" w:line="15" w:lineRule="atLeast"/>
        <w:ind w:left="2260"/>
        <w:jc w:val="both"/>
      </w:pPr>
      <w:r>
        <w:rPr>
          <w:rFonts w:hint="default" w:ascii="Times New Roman" w:hAnsi="Times New Roman" w:cs="Times New Roman"/>
          <w:i w:val="0"/>
          <w:iCs w:val="0"/>
          <w:color w:val="000000"/>
          <w:sz w:val="20"/>
          <w:szCs w:val="20"/>
          <w:u w:val="none"/>
          <w:vertAlign w:val="baseline"/>
        </w:rPr>
        <w:t>[...] casar com outras pessoas captivas, ou livres, e seus senhores lhe não podem impedir o Matrimônio, nem o uso delle em tempo e lugar conveniente, nem por esse respeito os podem tratar peior, nem vender para outros lugares remotos, para onde o outro por ser captivo, ou por ter outro justo impedimento o não possa seguir, e fazendo o contrario pecão mortalmente [...] Pelo que lhe mandamos, e encarregamos muito que não ponhão impedimentos a seus escravos para se casarem, nem com ameaças, e mao tratamento lhes encontrem o uso do Matrimônio em tempo e lugar conveniente, nem depois de casados os vendão para partes  remotas de fora, para onde suas mulheres por serem escravas, ou terem outro impedimento legitimo, os não possão seguir. E declaramos, que posto que casem, ficão escravos como de antes erão, e obrigados a todo serviço de seu senhor (VIDE,1853, p.125).</w:t>
      </w:r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240" w:afterAutospacing="0" w:line="360" w:lineRule="auto"/>
        <w:ind w:left="0" w:firstLine="1120"/>
        <w:jc w:val="both"/>
      </w:pPr>
      <w:r>
        <w:rPr>
          <w:rFonts w:hint="default" w:ascii="Times New Roman" w:hAnsi="Times New Roman" w:cs="Times New Roman"/>
          <w:i w:val="0"/>
          <w:iCs w:val="0"/>
          <w:color w:val="202122"/>
          <w:sz w:val="24"/>
          <w:szCs w:val="24"/>
          <w:u w:val="none"/>
          <w:vertAlign w:val="baseline"/>
        </w:rPr>
        <w:t>Oficializar a união diante de um padre não alterava a condição social e jurídica de homens e mulheres que viviam sob a escravidão. O casamento religioso, assim como outros ritos católicos, co-existiram em perfeita harmonia com as normas opressoras da sociedade escravista colonial e imperial brasileira. Na teoria e de acordo com os preceitos cristãos, senhores e senhoras não teriam motivos para ver em tais uniões algum tipo de ameaça para a estabilidade de suas propriedades.</w:t>
      </w:r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240" w:afterAutospacing="0" w:line="360" w:lineRule="auto"/>
        <w:ind w:left="0" w:firstLine="1120"/>
        <w:jc w:val="both"/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Os registros de casamento encontrados por mim não trazem muitas informações sobre as pessoas envolvidas nesse rito religioso e social. Neles constavam a data, o lugar da realização do matrimônio, o nome do noivo e da noiva, onde moravam, suas filiações (se natural ou legítimo/a e condição social e jurídica dos pais), os nomes de seus/suas proprietários/as, das testemunhas e a assinatura do religioso que fez o registro e abençoou tal cerimônia. Não encontrei informações sobre a idade e profissão dos nubentes. A partir desses fragmentos de histórias contidos nesses documentos, também fragmentados, busquei compreender a dinâmica dessas relações dentro da sociedade sertaneja e escravista do sertão sul-maranhense do século XIX.</w:t>
      </w:r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240" w:afterAutospacing="0" w:line="360" w:lineRule="auto"/>
        <w:ind w:left="0" w:firstLine="1120"/>
        <w:jc w:val="both"/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</w:pPr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240" w:afterAutospacing="0" w:line="15" w:lineRule="atLeast"/>
        <w:jc w:val="both"/>
        <w:rPr>
          <w:rFonts w:hint="default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  <w:lang w:val="pt-BR"/>
        </w:rPr>
      </w:pPr>
      <w:r>
        <w:rPr>
          <w:rFonts w:hint="default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  <w:lang w:val="pt-BR"/>
        </w:rPr>
        <w:t>EXEMPLO:</w:t>
      </w:r>
    </w:p>
    <w:p>
      <w:pPr>
        <w:spacing w:line="360" w:lineRule="auto"/>
        <w:rPr>
          <w:sz w:val="24"/>
          <w:szCs w:val="24"/>
        </w:rPr>
      </w:pPr>
      <w:r>
        <w:drawing>
          <wp:inline distT="0" distB="0" distL="0" distR="0">
            <wp:extent cx="4227830" cy="3172460"/>
            <wp:effectExtent l="0" t="0" r="1270" b="8890"/>
            <wp:docPr id="5" name="Imagem 5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, Car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240" w:beforeAutospacing="0" w:after="240" w:afterAutospacing="0"/>
        <w:jc w:val="both"/>
        <w:rPr>
          <w:rFonts w:hint="default"/>
          <w:color w:val="000000"/>
          <w:sz w:val="20"/>
          <w:szCs w:val="20"/>
          <w:lang w:val="pt-BR"/>
        </w:rPr>
      </w:pPr>
      <w:r>
        <w:rPr>
          <w:color w:val="000000"/>
          <w:sz w:val="20"/>
          <w:szCs w:val="20"/>
        </w:rPr>
        <w:t>Registro de Casamento de Luiz e Ignez. Livro de Registro de Casamento 1881-1886 da Paróquia de São Pedro de Alcântara da cidade de Carolina. (Casa Paroquial da cidade de Carolina-MA)</w:t>
      </w:r>
      <w:r>
        <w:rPr>
          <w:rFonts w:hint="default"/>
          <w:color w:val="000000"/>
          <w:sz w:val="20"/>
          <w:szCs w:val="20"/>
          <w:lang w:val="pt-BR"/>
        </w:rPr>
        <w:t xml:space="preserve">, </w:t>
      </w:r>
      <w:r>
        <w:rPr>
          <w:color w:val="000000"/>
          <w:sz w:val="20"/>
          <w:szCs w:val="20"/>
        </w:rPr>
        <w:t xml:space="preserve"> </w:t>
      </w:r>
      <w:r>
        <w:rPr>
          <w:rFonts w:hint="default"/>
          <w:color w:val="000000"/>
          <w:sz w:val="20"/>
          <w:szCs w:val="20"/>
          <w:lang w:val="pt-BR"/>
        </w:rPr>
        <w:t>p</w:t>
      </w:r>
      <w:r>
        <w:rPr>
          <w:color w:val="000000"/>
          <w:sz w:val="20"/>
          <w:szCs w:val="20"/>
        </w:rPr>
        <w:t>.78V</w:t>
      </w:r>
      <w:r>
        <w:rPr>
          <w:rFonts w:hint="default"/>
          <w:color w:val="000000"/>
          <w:sz w:val="20"/>
          <w:szCs w:val="20"/>
          <w:lang w:val="pt-BR"/>
        </w:rPr>
        <w:t>.</w:t>
      </w:r>
    </w:p>
    <w:p>
      <w:pPr>
        <w:pStyle w:val="5"/>
        <w:spacing w:before="240" w:beforeAutospacing="0" w:after="240" w:afterAutospacing="0" w:line="360" w:lineRule="auto"/>
        <w:jc w:val="both"/>
        <w:rPr>
          <w:rFonts w:hint="default"/>
          <w:b/>
          <w:bCs/>
          <w:color w:val="000000"/>
          <w:sz w:val="24"/>
          <w:szCs w:val="24"/>
          <w:lang w:val="pt-BR"/>
        </w:rPr>
      </w:pPr>
    </w:p>
    <w:p>
      <w:pPr>
        <w:pStyle w:val="5"/>
        <w:spacing w:before="240" w:beforeAutospacing="0" w:after="240" w:afterAutospacing="0" w:line="360" w:lineRule="auto"/>
        <w:jc w:val="both"/>
        <w:rPr>
          <w:rFonts w:hint="default"/>
          <w:b/>
          <w:bCs/>
          <w:color w:val="000000"/>
          <w:sz w:val="24"/>
          <w:szCs w:val="24"/>
          <w:lang w:val="pt-BR"/>
        </w:rPr>
      </w:pPr>
    </w:p>
    <w:p>
      <w:pPr>
        <w:pStyle w:val="5"/>
        <w:spacing w:before="240" w:beforeAutospacing="0" w:after="240" w:afterAutospacing="0" w:line="360" w:lineRule="auto"/>
        <w:jc w:val="both"/>
        <w:rPr>
          <w:rFonts w:hint="default"/>
          <w:b/>
          <w:bCs/>
          <w:color w:val="000000"/>
          <w:sz w:val="24"/>
          <w:szCs w:val="24"/>
          <w:lang w:val="pt-BR"/>
        </w:rPr>
      </w:pPr>
      <w:r>
        <w:rPr>
          <w:rFonts w:hint="default"/>
          <w:b/>
          <w:bCs/>
          <w:color w:val="000000"/>
          <w:sz w:val="24"/>
          <w:szCs w:val="24"/>
          <w:lang w:val="pt-BR"/>
        </w:rPr>
        <w:t>REFERÊNCIAS</w:t>
      </w:r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240" w:afterAutospacing="0" w:line="240" w:lineRule="auto"/>
        <w:jc w:val="both"/>
      </w:pP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 xml:space="preserve">VIDE, D. Sebastião Monteiro.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>Constituições Primeiras do Arcebispado da Bahia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. São Paulo:Tipografia 2 de Dezembro, 1853.</w:t>
      </w:r>
    </w:p>
    <w:p>
      <w:pPr>
        <w:pStyle w:val="5"/>
        <w:spacing w:before="240" w:beforeAutospacing="0" w:after="240" w:afterAutospacing="0" w:line="360" w:lineRule="auto"/>
        <w:jc w:val="both"/>
        <w:rPr>
          <w:rFonts w:hint="default"/>
          <w:b/>
          <w:bCs/>
          <w:color w:val="000000"/>
          <w:sz w:val="24"/>
          <w:szCs w:val="24"/>
          <w:lang w:val="pt-BR"/>
        </w:rPr>
      </w:pPr>
      <w:r>
        <w:rPr>
          <w:rFonts w:hint="default"/>
          <w:b/>
          <w:bCs/>
          <w:color w:val="000000"/>
          <w:sz w:val="24"/>
          <w:szCs w:val="24"/>
          <w:lang w:val="pt-BR"/>
        </w:rPr>
        <w:t>DOCUMENTOS</w:t>
      </w:r>
    </w:p>
    <w:p>
      <w:pPr>
        <w:pStyle w:val="5"/>
        <w:spacing w:before="240" w:beforeAutospacing="0" w:after="240" w:afterAutospacing="0" w:line="240" w:lineRule="auto"/>
        <w:jc w:val="both"/>
        <w:rPr>
          <w:rFonts w:hint="default"/>
          <w:color w:val="000000"/>
          <w:lang w:val="pt-BR"/>
        </w:rPr>
      </w:pPr>
      <w:r>
        <w:rPr>
          <w:color w:val="000000"/>
        </w:rPr>
        <w:t>Registro de Casamento de Luiz e Ignez. Livro de Registro de Casamento 1881-1886 da Paróquia de São Pedro de Alcântara da cidade de Carolina. (Casa Paroquial da cidade de Carolina-MA). P.78V</w:t>
      </w:r>
      <w:r>
        <w:rPr>
          <w:rFonts w:hint="default"/>
          <w:color w:val="000000"/>
          <w:lang w:val="pt-BR"/>
        </w:rPr>
        <w:t>.</w:t>
      </w:r>
    </w:p>
    <w:p>
      <w:pPr>
        <w:pStyle w:val="5"/>
        <w:spacing w:before="240" w:beforeAutospacing="0" w:after="240" w:afterAutospacing="0" w:line="360" w:lineRule="auto"/>
        <w:jc w:val="center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4"/>
          <w:szCs w:val="24"/>
          <w:highlight w:val="yellow"/>
          <w:u w:val="none"/>
          <w:vertAlign w:val="baseline"/>
        </w:rPr>
      </w:pPr>
    </w:p>
    <w:p>
      <w:pPr>
        <w:pStyle w:val="5"/>
        <w:spacing w:before="240" w:beforeAutospacing="0" w:after="240" w:afterAutospacing="0" w:line="360" w:lineRule="auto"/>
        <w:jc w:val="center"/>
        <w:rPr>
          <w:rFonts w:hint="default"/>
          <w:b/>
          <w:bCs/>
          <w:color w:val="000000"/>
          <w:highlight w:val="yellow"/>
          <w:lang w:val="pt-BR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4"/>
          <w:szCs w:val="24"/>
          <w:highlight w:val="yellow"/>
          <w:u w:val="none"/>
          <w:vertAlign w:val="baseline"/>
        </w:rPr>
        <w:t>AS CARTAS DE LIBERDADE</w:t>
      </w:r>
      <w:r>
        <w:rPr>
          <w:rFonts w:hint="default" w:eastAsia="SimSun" w:cs="Times New Roman"/>
          <w:b/>
          <w:bCs/>
          <w:i w:val="0"/>
          <w:iCs w:val="0"/>
          <w:color w:val="000000"/>
          <w:sz w:val="24"/>
          <w:szCs w:val="24"/>
          <w:highlight w:val="yellow"/>
          <w:u w:val="none"/>
          <w:vertAlign w:val="baseline"/>
          <w:lang w:val="pt-BR"/>
        </w:rPr>
        <w:t>.</w:t>
      </w:r>
      <w:bookmarkStart w:id="0" w:name="_GoBack"/>
      <w:bookmarkEnd w:id="0"/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240" w:afterAutospacing="0" w:line="15" w:lineRule="atLeast"/>
        <w:ind w:left="0" w:firstLine="1120"/>
        <w:jc w:val="both"/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</w:pPr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240" w:afterAutospacing="0" w:line="360" w:lineRule="auto"/>
        <w:ind w:left="0" w:firstLine="1120"/>
        <w:jc w:val="both"/>
      </w:pP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As cartas de liberdade “ Eram cartas ou títulos de alforrias (V.), documentos por meio dos quais os senhores legitimavam a liberdade concedida aos seus escravos. Era documento registrado em cartório e, com ele, o escravo ficava livre da tutela do senhor” (MOURA, 2004, p.89). A prática de registrar as cartas de liberdades nos livros de notas cartoriais estava ligado ao fato de que “[...] muitas alforrias era</w:t>
      </w:r>
      <w:r>
        <w:rPr>
          <w:rFonts w:hint="default" w:cs="Times New Roman"/>
          <w:i w:val="0"/>
          <w:iCs w:val="0"/>
          <w:color w:val="000000"/>
          <w:sz w:val="24"/>
          <w:szCs w:val="24"/>
          <w:u w:val="none"/>
          <w:vertAlign w:val="baseline"/>
          <w:lang w:val="pt-BR"/>
        </w:rPr>
        <w:t>m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 xml:space="preserve"> um verdadeiro negócio envolvendo dinheiro, prestação de serviços, contratos de compra, troca e condições, fazendo-se necessário o seu registro” (SILVA, 2013, p.48). Esse ato 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240" w:beforeAutospacing="0" w:after="240" w:afterAutospacing="0" w:line="15" w:lineRule="atLeast"/>
        <w:ind w:left="2260" w:hanging="15"/>
        <w:jc w:val="both"/>
        <w:rPr>
          <w:rFonts w:hint="default" w:ascii="Times New Roman" w:hAnsi="Times New Roman" w:cs="Times New Roman"/>
          <w:i w:val="0"/>
          <w:iCs w:val="0"/>
          <w:color w:val="000000"/>
          <w:sz w:val="20"/>
          <w:szCs w:val="20"/>
          <w:u w:val="none"/>
          <w:bdr w:val="none" w:color="auto" w:sz="0" w:space="0"/>
          <w:vertAlign w:val="baseline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0"/>
          <w:szCs w:val="20"/>
          <w:u w:val="none"/>
          <w:bdr w:val="none" w:color="auto" w:sz="0" w:space="0"/>
          <w:vertAlign w:val="baseline"/>
        </w:rPr>
        <w:t>[...] protegia não só o liberto, mas também o senhor: para o primeiro, o registro evitava possíveis contestações quanto à vontade do proprietário, principalmente por parte dos herdeiros, além de evitar a escravização de libertos; para o segundo, o registro resguardava os termos acertados com o escravo, facilitando a cobrança do cumprimento das condições impostas TEIXEIRA, 2014, p.45).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240" w:beforeAutospacing="0" w:after="240" w:afterAutospacing="0" w:line="15" w:lineRule="atLeast"/>
        <w:ind w:left="2260" w:hanging="15"/>
        <w:jc w:val="both"/>
        <w:rPr>
          <w:rFonts w:hint="default" w:ascii="Times New Roman" w:hAnsi="Times New Roman" w:cs="Times New Roman"/>
          <w:i w:val="0"/>
          <w:iCs w:val="0"/>
          <w:color w:val="000000"/>
          <w:sz w:val="20"/>
          <w:szCs w:val="20"/>
          <w:u w:val="none"/>
          <w:bdr w:val="none" w:color="auto" w:sz="0" w:space="0"/>
          <w:vertAlign w:val="baseline"/>
          <w:lang w:val="pt-BR"/>
        </w:rPr>
      </w:pPr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240" w:afterAutospacing="0" w:line="360" w:lineRule="auto"/>
        <w:ind w:left="-60" w:firstLine="1140"/>
        <w:jc w:val="both"/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Não havia um padrão para as cartas de alforrias (SILVA, 2013, p.48). Na documentação que estudei, por mais singular que cada história se apresentava, algumas informações estavam presentes, tais como:  a data (dia, mês e ano) e local, o nome do escravizado/a alforriado/a, do senhor/a e/ou de quem registrava, das testemunhas, os motivos que levaram aquele/a homem ou mulher escravizado/a a conseguir sua alforria, o tipo da liberdade (gratuita ou comprada) e o valor, quando esta era paga pelo/a próprio/a liberto/a ou por terceiros/as. Não foi um hábito do escrivão ou da pessoa que fazia o registro da escritura de liberdade nos cartórios de Carolina no oitocentos</w:t>
      </w:r>
      <w:r>
        <w:rPr>
          <w:rFonts w:hint="default" w:cs="Times New Roman"/>
          <w:i w:val="0"/>
          <w:iCs w:val="0"/>
          <w:color w:val="000000"/>
          <w:sz w:val="24"/>
          <w:szCs w:val="24"/>
          <w:u w:val="none"/>
          <w:vertAlign w:val="baseline"/>
          <w:lang w:val="pt-BR"/>
        </w:rPr>
        <w:t xml:space="preserve">, ao 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nos documentos que analisei, colocar a idade, a profissão, a cor e a origem do/a alforriado/a.</w:t>
      </w:r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240" w:afterAutospacing="0" w:line="360" w:lineRule="auto"/>
        <w:ind w:left="-60" w:firstLine="1140"/>
        <w:jc w:val="both"/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</w:pPr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240" w:afterAutospacing="0" w:line="360" w:lineRule="auto"/>
        <w:ind w:left="-60" w:firstLine="1140"/>
        <w:jc w:val="both"/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240" w:beforeAutospacing="0" w:after="240" w:afterAutospacing="0" w:line="15" w:lineRule="atLeast"/>
        <w:ind w:left="2260" w:hanging="15"/>
        <w:jc w:val="both"/>
        <w:rPr>
          <w:rFonts w:hint="default" w:ascii="Times New Roman" w:hAnsi="Times New Roman" w:cs="Times New Roman"/>
          <w:i w:val="0"/>
          <w:iCs w:val="0"/>
          <w:color w:val="000000"/>
          <w:sz w:val="20"/>
          <w:szCs w:val="20"/>
          <w:u w:val="none"/>
          <w:bdr w:val="none" w:color="auto" w:sz="0" w:space="0"/>
          <w:vertAlign w:val="baseline"/>
          <w:lang w:val="pt-BR"/>
        </w:rPr>
      </w:pPr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240" w:afterAutospacing="0" w:line="15" w:lineRule="atLeast"/>
        <w:jc w:val="both"/>
        <w:rPr>
          <w:rFonts w:hint="default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  <w:lang w:val="pt-BR"/>
        </w:rPr>
      </w:pPr>
      <w:r>
        <w:rPr>
          <w:rFonts w:hint="default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  <w:lang w:val="pt-BR"/>
        </w:rPr>
        <w:t>EXEMPLO:</w:t>
      </w:r>
    </w:p>
    <w:p>
      <w:pPr>
        <w:pStyle w:val="5"/>
        <w:spacing w:before="240" w:beforeAutospacing="0" w:after="240" w:afterAutospacing="0" w:line="360" w:lineRule="auto"/>
        <w:jc w:val="both"/>
        <w:rPr>
          <w:rFonts w:hint="default"/>
          <w:b/>
          <w:bCs/>
          <w:color w:val="000000"/>
          <w:sz w:val="24"/>
          <w:szCs w:val="24"/>
          <w:lang w:val="pt-BR"/>
        </w:rPr>
      </w:pPr>
      <w:r>
        <w:rPr>
          <w:rFonts w:hint="default"/>
          <w:b/>
          <w:bCs/>
          <w:color w:val="000000"/>
          <w:sz w:val="24"/>
          <w:szCs w:val="24"/>
          <w:lang w:val="pt-BR"/>
        </w:rPr>
        <w:drawing>
          <wp:inline distT="0" distB="0" distL="114300" distR="114300">
            <wp:extent cx="5391150" cy="4043680"/>
            <wp:effectExtent l="0" t="0" r="13970" b="0"/>
            <wp:docPr id="3" name="Imagem 3" descr="Cópia de Cópia de DSCF0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Cópia de Cópia de DSCF062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39115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40" w:beforeAutospacing="0" w:after="240" w:afterAutospacing="0" w:line="240" w:lineRule="auto"/>
        <w:jc w:val="both"/>
        <w:rPr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0"/>
          <w:szCs w:val="20"/>
          <w:u w:val="none"/>
          <w:vertAlign w:val="baseline"/>
        </w:rPr>
        <w:t xml:space="preserve">Carta de Liberdade de </w:t>
      </w:r>
      <w:r>
        <w:rPr>
          <w:rFonts w:hint="default" w:cs="Times New Roman"/>
          <w:i w:val="0"/>
          <w:iCs w:val="0"/>
          <w:color w:val="000000"/>
          <w:sz w:val="20"/>
          <w:szCs w:val="20"/>
          <w:u w:val="none"/>
          <w:vertAlign w:val="baseline"/>
          <w:lang w:val="pt-BR"/>
        </w:rPr>
        <w:t>Fellipe</w:t>
      </w:r>
      <w:r>
        <w:rPr>
          <w:rFonts w:hint="default" w:ascii="Times New Roman" w:hAnsi="Times New Roman" w:cs="Times New Roman"/>
          <w:i w:val="0"/>
          <w:iCs w:val="0"/>
          <w:color w:val="000000"/>
          <w:sz w:val="20"/>
          <w:szCs w:val="20"/>
          <w:u w:val="none"/>
          <w:vertAlign w:val="baseline"/>
        </w:rPr>
        <w:t>. (Livro de Notas 18</w:t>
      </w:r>
      <w:r>
        <w:rPr>
          <w:rFonts w:hint="default" w:cs="Times New Roman"/>
          <w:i w:val="0"/>
          <w:iCs w:val="0"/>
          <w:color w:val="000000"/>
          <w:sz w:val="20"/>
          <w:szCs w:val="20"/>
          <w:u w:val="none"/>
          <w:vertAlign w:val="baseline"/>
          <w:lang w:val="pt-BR"/>
        </w:rPr>
        <w:t>81</w:t>
      </w:r>
      <w:r>
        <w:rPr>
          <w:rFonts w:hint="default" w:ascii="Times New Roman" w:hAnsi="Times New Roman" w:cs="Times New Roman"/>
          <w:i w:val="0"/>
          <w:iCs w:val="0"/>
          <w:color w:val="000000"/>
          <w:sz w:val="20"/>
          <w:szCs w:val="20"/>
          <w:u w:val="none"/>
          <w:vertAlign w:val="baseline"/>
        </w:rPr>
        <w:t>-18</w:t>
      </w:r>
      <w:r>
        <w:rPr>
          <w:rFonts w:hint="default" w:cs="Times New Roman"/>
          <w:i w:val="0"/>
          <w:iCs w:val="0"/>
          <w:color w:val="000000"/>
          <w:sz w:val="20"/>
          <w:szCs w:val="20"/>
          <w:u w:val="none"/>
          <w:vertAlign w:val="baseline"/>
          <w:lang w:val="pt-BR"/>
        </w:rPr>
        <w:t>90</w:t>
      </w:r>
      <w:r>
        <w:rPr>
          <w:rFonts w:hint="default" w:ascii="Times New Roman" w:hAnsi="Times New Roman" w:cs="Times New Roman"/>
          <w:i w:val="0"/>
          <w:iCs w:val="0"/>
          <w:color w:val="000000"/>
          <w:sz w:val="20"/>
          <w:szCs w:val="20"/>
          <w:u w:val="none"/>
          <w:vertAlign w:val="baseline"/>
        </w:rPr>
        <w:t>, Tribunal de Justiça do Estado do Maranhão - São Luís-MA)</w:t>
      </w:r>
      <w:r>
        <w:rPr>
          <w:rFonts w:hint="default" w:cs="Times New Roman"/>
          <w:i w:val="0"/>
          <w:iCs w:val="0"/>
          <w:color w:val="000000"/>
          <w:sz w:val="20"/>
          <w:szCs w:val="20"/>
          <w:u w:val="none"/>
          <w:vertAlign w:val="baseline"/>
          <w:lang w:val="pt-BR"/>
        </w:rPr>
        <w:t>, p.68</w:t>
      </w:r>
      <w:r>
        <w:rPr>
          <w:rFonts w:hint="default" w:ascii="Times New Roman" w:hAnsi="Times New Roman" w:cs="Times New Roman"/>
          <w:i w:val="0"/>
          <w:iCs w:val="0"/>
          <w:color w:val="000000"/>
          <w:sz w:val="20"/>
          <w:szCs w:val="20"/>
          <w:u w:val="none"/>
          <w:vertAlign w:val="baseline"/>
        </w:rPr>
        <w:t>.</w:t>
      </w:r>
    </w:p>
    <w:p>
      <w:pPr>
        <w:pStyle w:val="5"/>
        <w:spacing w:before="240" w:beforeAutospacing="0" w:after="240" w:afterAutospacing="0" w:line="360" w:lineRule="auto"/>
        <w:jc w:val="both"/>
        <w:rPr>
          <w:rFonts w:hint="default"/>
          <w:b/>
          <w:bCs/>
          <w:color w:val="000000"/>
          <w:sz w:val="24"/>
          <w:szCs w:val="24"/>
          <w:lang w:val="pt-BR"/>
        </w:rPr>
      </w:pPr>
    </w:p>
    <w:p>
      <w:pPr>
        <w:pStyle w:val="5"/>
        <w:spacing w:before="240" w:beforeAutospacing="0" w:after="240" w:afterAutospacing="0" w:line="360" w:lineRule="auto"/>
        <w:jc w:val="both"/>
        <w:rPr>
          <w:rFonts w:hint="default"/>
          <w:b/>
          <w:bCs/>
          <w:color w:val="000000"/>
          <w:sz w:val="24"/>
          <w:szCs w:val="24"/>
          <w:lang w:val="pt-BR"/>
        </w:rPr>
      </w:pPr>
      <w:r>
        <w:rPr>
          <w:rFonts w:hint="default"/>
          <w:b/>
          <w:bCs/>
          <w:color w:val="000000"/>
          <w:sz w:val="24"/>
          <w:szCs w:val="24"/>
          <w:lang w:val="pt-BR"/>
        </w:rPr>
        <w:t>REFERÊNCIAS</w:t>
      </w:r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240" w:afterAutospacing="0" w:line="240" w:lineRule="auto"/>
        <w:jc w:val="both"/>
      </w:pPr>
      <w:r>
        <w:rPr>
          <w:rFonts w:hint="default" w:ascii="Times New Roman" w:hAnsi="Times New Roman" w:cs="Times New Roman"/>
          <w:i w:val="0"/>
          <w:iCs w:val="0"/>
          <w:color w:val="202124"/>
          <w:sz w:val="24"/>
          <w:szCs w:val="24"/>
          <w:u w:val="none"/>
          <w:vertAlign w:val="baseline"/>
        </w:rPr>
        <w:t xml:space="preserve">MOURA, Clóvis.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202124"/>
          <w:sz w:val="24"/>
          <w:szCs w:val="24"/>
          <w:u w:val="none"/>
          <w:vertAlign w:val="baseline"/>
        </w:rPr>
        <w:t>Dicionário da escravidão negra no Brasil</w:t>
      </w:r>
      <w:r>
        <w:rPr>
          <w:rFonts w:hint="default" w:ascii="Times New Roman" w:hAnsi="Times New Roman" w:cs="Times New Roman"/>
          <w:i w:val="0"/>
          <w:iCs w:val="0"/>
          <w:color w:val="202124"/>
          <w:sz w:val="24"/>
          <w:szCs w:val="24"/>
          <w:u w:val="none"/>
          <w:vertAlign w:val="baseline"/>
        </w:rPr>
        <w:t>. São Paulo: Editora da Universidade de São Paulo, 2004.</w:t>
      </w:r>
    </w:p>
    <w:p>
      <w:pPr>
        <w:pStyle w:val="5"/>
        <w:keepNext w:val="0"/>
        <w:keepLines w:val="0"/>
        <w:widowControl/>
        <w:suppressLineNumbers w:val="0"/>
        <w:bidi w:val="0"/>
        <w:spacing w:before="0" w:beforeAutospacing="0" w:after="160" w:afterAutospacing="0" w:line="240" w:lineRule="auto"/>
        <w:jc w:val="both"/>
      </w:pP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SILVA, Mauricélia Medeiros. Cartas de alforria, a luz da liberdade: “concedo a liberdade com a condição de me servir…”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 xml:space="preserve">. Revista História e Diversidade, 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 xml:space="preserve">Vol. 2, nº. 1 , 2013. Disponível em: </w:t>
      </w:r>
      <w:r>
        <w:rPr>
          <w:b w:val="0"/>
          <w:bCs w:val="0"/>
          <w:u w:val="none"/>
        </w:rPr>
        <w:fldChar w:fldCharType="begin"/>
      </w:r>
      <w:r>
        <w:rPr>
          <w:b w:val="0"/>
          <w:bCs w:val="0"/>
          <w:u w:val="none"/>
        </w:rPr>
        <w:instrText xml:space="preserve"> HYPERLINK "http://www.unemat.br/revistas/historiaediversidade/docs/edicao2013/mauricelia_medeiros_silva,_cartas_de_alforria,_a_luz_da_liberdade.pdf" </w:instrText>
      </w:r>
      <w:r>
        <w:rPr>
          <w:b w:val="0"/>
          <w:bCs w:val="0"/>
          <w:u w:val="none"/>
        </w:rPr>
        <w:fldChar w:fldCharType="separate"/>
      </w:r>
      <w:r>
        <w:rPr>
          <w:rStyle w:val="4"/>
          <w:rFonts w:hint="default" w:ascii="Times New Roman" w:hAnsi="Times New Roman" w:cs="Times New Roman"/>
          <w:i w:val="0"/>
          <w:iCs w:val="0"/>
          <w:color w:val="202124"/>
          <w:sz w:val="24"/>
          <w:szCs w:val="24"/>
          <w:u w:val="none"/>
          <w:vertAlign w:val="baseline"/>
        </w:rPr>
        <w:t>http://www.unemat.br/revistas/historiaediversidade/docs/edicao2013/mauricelia_medeiros_silva,_cartas_de_alforria,_a_luz_da_liberdade.pdf</w:t>
      </w:r>
      <w:r>
        <w:rPr>
          <w:b w:val="0"/>
          <w:bCs w:val="0"/>
          <w:u w:val="none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color w:val="202124"/>
          <w:sz w:val="24"/>
          <w:szCs w:val="24"/>
          <w:u w:val="none"/>
          <w:vertAlign w:val="baseline"/>
        </w:rPr>
        <w:t>. Acesso em: 29 de mar. de 2022.</w:t>
      </w:r>
    </w:p>
    <w:p>
      <w:pPr>
        <w:pStyle w:val="5"/>
        <w:keepNext w:val="0"/>
        <w:keepLines w:val="0"/>
        <w:widowControl/>
        <w:suppressLineNumbers w:val="0"/>
        <w:bidi w:val="0"/>
        <w:spacing w:before="240" w:beforeAutospacing="0" w:after="240" w:afterAutospacing="0" w:line="240" w:lineRule="auto"/>
        <w:jc w:val="both"/>
      </w:pP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shd w:val="clear" w:fill="FFFFFF"/>
          <w:vertAlign w:val="baseline"/>
        </w:rPr>
        <w:t xml:space="preserve">TEIXEIRA, H. M. Os filhos das escravas: crianças cativas e ingênuas nas propriedades de Mariana (1850-1888) (The children of slaves: naive and captive children at Mariana properties (1850-1888)) - DOI: 10.5752/P.2237-8871.2010v11n15p58.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4"/>
          <w:szCs w:val="24"/>
          <w:u w:val="none"/>
          <w:shd w:val="clear" w:fill="FFFFFF"/>
          <w:vertAlign w:val="baseline"/>
        </w:rPr>
        <w:t>Cadernos de História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shd w:val="clear" w:fill="FFFFFF"/>
          <w:vertAlign w:val="baseline"/>
        </w:rPr>
        <w:t xml:space="preserve">, v. 11, n. 15, p. 58-93, 31 out. 2010. Disponível em: </w:t>
      </w:r>
      <w:r>
        <w:rPr>
          <w:b w:val="0"/>
          <w:bCs w:val="0"/>
          <w:u w:val="none"/>
        </w:rPr>
        <w:fldChar w:fldCharType="begin"/>
      </w:r>
      <w:r>
        <w:rPr>
          <w:b w:val="0"/>
          <w:bCs w:val="0"/>
          <w:u w:val="none"/>
        </w:rPr>
        <w:instrText xml:space="preserve"> HYPERLINK "http://periodicos.pucminas.br/index.php/cadernoshistoria/article/view/P.2237-8871.2010v11n15p58" </w:instrText>
      </w:r>
      <w:r>
        <w:rPr>
          <w:b w:val="0"/>
          <w:bCs w:val="0"/>
          <w:u w:val="none"/>
        </w:rPr>
        <w:fldChar w:fldCharType="separate"/>
      </w:r>
      <w:r>
        <w:rPr>
          <w:rStyle w:val="4"/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shd w:val="clear" w:fill="FFFFFF"/>
          <w:vertAlign w:val="baseline"/>
        </w:rPr>
        <w:t>http://periodicos.pucminas.br/index.php/cadernoshistoria/article/view/P.2237-8871.2010v11n15p58</w:t>
      </w:r>
      <w:r>
        <w:rPr>
          <w:b w:val="0"/>
          <w:bCs w:val="0"/>
          <w:u w:val="none"/>
        </w:rPr>
        <w:fldChar w:fldCharType="end"/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shd w:val="clear" w:fill="FFFFFF"/>
          <w:vertAlign w:val="baseline"/>
        </w:rPr>
        <w:t>. Acesso em: 4 de mar. de 2022.</w:t>
      </w:r>
    </w:p>
    <w:p>
      <w:pPr>
        <w:pStyle w:val="5"/>
        <w:spacing w:before="240" w:beforeAutospacing="0" w:after="240" w:afterAutospacing="0" w:line="360" w:lineRule="auto"/>
        <w:jc w:val="both"/>
        <w:rPr>
          <w:rFonts w:hint="default"/>
          <w:b/>
          <w:bCs/>
          <w:color w:val="000000"/>
          <w:sz w:val="24"/>
          <w:szCs w:val="24"/>
          <w:lang w:val="pt-BR"/>
        </w:rPr>
      </w:pPr>
    </w:p>
    <w:p>
      <w:pPr>
        <w:pStyle w:val="5"/>
        <w:spacing w:before="240" w:beforeAutospacing="0" w:after="240" w:afterAutospacing="0" w:line="360" w:lineRule="auto"/>
        <w:jc w:val="both"/>
        <w:rPr>
          <w:rFonts w:hint="default"/>
          <w:b/>
          <w:bCs/>
          <w:color w:val="000000"/>
          <w:sz w:val="24"/>
          <w:szCs w:val="24"/>
          <w:lang w:val="pt-BR"/>
        </w:rPr>
      </w:pPr>
      <w:r>
        <w:rPr>
          <w:rFonts w:hint="default"/>
          <w:b/>
          <w:bCs/>
          <w:color w:val="000000"/>
          <w:sz w:val="24"/>
          <w:szCs w:val="24"/>
          <w:lang w:val="pt-BR"/>
        </w:rPr>
        <w:t>DOCUMENTOS</w:t>
      </w:r>
    </w:p>
    <w:p>
      <w:pPr>
        <w:pStyle w:val="5"/>
        <w:spacing w:before="240" w:beforeAutospacing="0" w:after="240" w:afterAutospacing="0" w:line="240" w:lineRule="auto"/>
        <w:jc w:val="both"/>
        <w:rPr>
          <w:sz w:val="24"/>
          <w:szCs w:val="24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 xml:space="preserve">Carta de Liberdade de </w:t>
      </w:r>
      <w:r>
        <w:rPr>
          <w:rFonts w:hint="default" w:cs="Times New Roman"/>
          <w:i w:val="0"/>
          <w:iCs w:val="0"/>
          <w:color w:val="000000"/>
          <w:sz w:val="24"/>
          <w:szCs w:val="24"/>
          <w:u w:val="none"/>
          <w:vertAlign w:val="baseline"/>
          <w:lang w:val="pt-BR"/>
        </w:rPr>
        <w:t>Fellipe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. (Livro de Notas 18</w:t>
      </w:r>
      <w:r>
        <w:rPr>
          <w:rFonts w:hint="default" w:cs="Times New Roman"/>
          <w:i w:val="0"/>
          <w:iCs w:val="0"/>
          <w:color w:val="000000"/>
          <w:sz w:val="24"/>
          <w:szCs w:val="24"/>
          <w:u w:val="none"/>
          <w:vertAlign w:val="baseline"/>
          <w:lang w:val="pt-BR"/>
        </w:rPr>
        <w:t>81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-18</w:t>
      </w:r>
      <w:r>
        <w:rPr>
          <w:rFonts w:hint="default" w:cs="Times New Roman"/>
          <w:i w:val="0"/>
          <w:iCs w:val="0"/>
          <w:color w:val="000000"/>
          <w:sz w:val="24"/>
          <w:szCs w:val="24"/>
          <w:u w:val="none"/>
          <w:vertAlign w:val="baseline"/>
          <w:lang w:val="pt-BR"/>
        </w:rPr>
        <w:t>90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, Tribunal de Justiça do Estado do Maranhão - São Luís-MA).</w:t>
      </w:r>
    </w:p>
    <w:p>
      <w:pPr>
        <w:pStyle w:val="5"/>
        <w:spacing w:before="240" w:beforeAutospacing="0" w:after="240" w:afterAutospacing="0" w:line="360" w:lineRule="auto"/>
        <w:jc w:val="both"/>
        <w:rPr>
          <w:rFonts w:hint="default"/>
          <w:b/>
          <w:bCs/>
          <w:color w:val="000000"/>
          <w:sz w:val="24"/>
          <w:szCs w:val="24"/>
          <w:lang w:val="pt-BR"/>
        </w:rPr>
      </w:pPr>
    </w:p>
    <w:p>
      <w:pPr>
        <w:pStyle w:val="5"/>
        <w:spacing w:before="240" w:beforeAutospacing="0" w:after="240" w:afterAutospacing="0" w:line="240" w:lineRule="auto"/>
        <w:jc w:val="both"/>
        <w:rPr>
          <w:rFonts w:hint="default"/>
          <w:color w:val="000000"/>
          <w:lang w:val="pt-BR"/>
        </w:rPr>
      </w:pPr>
    </w:p>
    <w:p/>
    <w:sectPr>
      <w:pgSz w:w="11906" w:h="16838"/>
      <w:pgMar w:top="1417" w:right="1701" w:bottom="1417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imHei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FD75BDA"/>
    <w:rsid w:val="00904723"/>
    <w:rsid w:val="04B63693"/>
    <w:rsid w:val="06613D46"/>
    <w:rsid w:val="0DC21F49"/>
    <w:rsid w:val="12DD14D9"/>
    <w:rsid w:val="1E2C727D"/>
    <w:rsid w:val="1FD75BDA"/>
    <w:rsid w:val="25A73E1D"/>
    <w:rsid w:val="2B1F098C"/>
    <w:rsid w:val="2C621EC7"/>
    <w:rsid w:val="3B4F2235"/>
    <w:rsid w:val="40553F9A"/>
    <w:rsid w:val="421D53C4"/>
    <w:rsid w:val="45736D52"/>
    <w:rsid w:val="504F0E3F"/>
    <w:rsid w:val="504F5AF9"/>
    <w:rsid w:val="51595B1A"/>
    <w:rsid w:val="51B922AB"/>
    <w:rsid w:val="51CA7288"/>
    <w:rsid w:val="55982572"/>
    <w:rsid w:val="5B212453"/>
    <w:rsid w:val="5D952B68"/>
    <w:rsid w:val="6533227E"/>
    <w:rsid w:val="69562DE6"/>
    <w:rsid w:val="6AD37D33"/>
    <w:rsid w:val="6C1764FE"/>
    <w:rsid w:val="72371998"/>
    <w:rsid w:val="744C747A"/>
    <w:rsid w:val="7D311748"/>
    <w:rsid w:val="7D9D2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pt-BR" w:eastAsia="en-US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  <w:style w:type="paragraph" w:styleId="5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pt-B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</TotalTime>
  <ScaleCrop>false</ScaleCrop>
  <LinksUpToDate>false</LinksUpToDate>
  <CharactersWithSpaces>0</CharactersWithSpaces>
  <Application>WPS Office_11.2.0.11380_F1E327BC-269C-435d-A152-05C5408002CA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2022-11-24T11:31:00Z</dcterms:created>
  <dc:creator>Antonia</dc:creator>
  <cp:lastModifiedBy>Antonia</cp:lastModifiedBy>
  <dcterms:modified xsi:type="dcterms:W3CDTF">2022-11-27T11:42:21Z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1046-11.2.0.11380</vt:lpwstr>
  </property>
  <property fmtid="{D5CDD505-2E9C-101B-9397-08002B2CF9AE}" pid="3" name="ICV">
    <vt:lpwstr>1BC4D6F1A41F4A1CA76CBA903D1832C9</vt:lpwstr>
  </property>
</Properties>
</file>